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8233B">
        <w:rPr>
          <w:b/>
          <w:bCs/>
          <w:color w:val="333333"/>
          <w:sz w:val="28"/>
          <w:szCs w:val="28"/>
        </w:rPr>
        <w:t xml:space="preserve">Детские лагеря и центры смогут ограничивать доступ посторонних лиц на свои территории </w:t>
      </w:r>
    </w:p>
    <w:bookmarkEnd w:id="0"/>
    <w:p w:rsidR="0048233B" w:rsidRPr="0048233B" w:rsidRDefault="0048233B" w:rsidP="0048233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</w:rPr>
        <w:t>Так, 14.04.2023 вступили в законную силу положения Федерального закона от 03.04.2023 № 96-ФЗ, которым внесены изменения в отдельные нормы Федерального закона от 24.07.1998 № 124-ФЗ «Об основных гарантиях прав ребенка в Российской Федерации».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В Федеральном законе № 124-ФЗ закреплено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организации, в том числе в границах береговой полосы водных объектов.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По новым требованиям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77B31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D69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2023-06-09T08:11:00Z</dcterms:created>
  <dcterms:modified xsi:type="dcterms:W3CDTF">2023-06-09T08:11:00Z</dcterms:modified>
</cp:coreProperties>
</file>